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华文新魏"/>
          <w:b/>
          <w:spacing w:val="-70"/>
          <w:sz w:val="72"/>
          <w:szCs w:val="72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hint="eastAsia" w:eastAsia="黑体"/>
          <w:b/>
          <w:sz w:val="52"/>
          <w:szCs w:val="52"/>
          <w:lang w:val="en-US" w:eastAsia="zh-CN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工程建设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投标单位</w:t>
      </w:r>
      <w:r>
        <w:rPr>
          <w:rFonts w:hint="eastAsia" w:eastAsia="黑体"/>
          <w:b/>
          <w:sz w:val="52"/>
          <w:szCs w:val="52"/>
        </w:rPr>
        <w:t>操作手册</w:t>
      </w:r>
    </w:p>
    <w:p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t>目录</w:t>
      </w:r>
    </w:p>
    <w:p>
      <w:pPr>
        <w:pStyle w:val="14"/>
        <w:tabs>
          <w:tab w:val="right" w:leader="dot" w:pos="8306"/>
        </w:tabs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HYPERLINK \l _Toc25268 </w:instrText>
      </w:r>
      <w:r>
        <w:rPr>
          <w:bCs w:val="0"/>
          <w:caps w:val="0"/>
        </w:rP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_Toc25268 \h </w:instrText>
      </w:r>
      <w:r>
        <w:fldChar w:fldCharType="separate"/>
      </w:r>
      <w:r>
        <w:t>2</w:t>
      </w:r>
      <w:r>
        <w:fldChar w:fldCharType="end"/>
      </w:r>
      <w:r>
        <w:rPr>
          <w:bCs w:val="0"/>
          <w:caps w:val="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_Toc5453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rPr>
          <w:rFonts w:hint="eastAsia"/>
        </w:rPr>
        <w:t>系统地址及登录</w:t>
      </w:r>
      <w:r>
        <w:tab/>
      </w:r>
      <w:r>
        <w:fldChar w:fldCharType="begin"/>
      </w:r>
      <w:r>
        <w:instrText xml:space="preserve"> PAGEREF _Toc5453 \h </w:instrText>
      </w:r>
      <w:r>
        <w:fldChar w:fldCharType="separate"/>
      </w:r>
      <w:r>
        <w:t>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_Toc26760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rPr>
          <w:rFonts w:hint="eastAsia"/>
        </w:rPr>
        <w:t>系统地址</w:t>
      </w:r>
      <w:r>
        <w:tab/>
      </w:r>
      <w:r>
        <w:fldChar w:fldCharType="begin"/>
      </w:r>
      <w:r>
        <w:instrText xml:space="preserve"> PAGEREF _Toc26760 \h </w:instrText>
      </w:r>
      <w:r>
        <w:fldChar w:fldCharType="separate"/>
      </w:r>
      <w:r>
        <w:t>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_Toc4472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t>浏览器配置</w:t>
      </w:r>
      <w:r>
        <w:tab/>
      </w:r>
      <w:r>
        <w:fldChar w:fldCharType="begin"/>
      </w:r>
      <w:r>
        <w:instrText xml:space="preserve"> PAGEREF _Toc4472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_Toc17334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Internet选项</w:t>
      </w:r>
      <w:r>
        <w:tab/>
      </w:r>
      <w:r>
        <w:fldChar w:fldCharType="begin"/>
      </w:r>
      <w:r>
        <w:instrText xml:space="preserve"> PAGEREF _Toc17334 \h </w:instrText>
      </w:r>
      <w:r>
        <w:fldChar w:fldCharType="separate"/>
      </w:r>
      <w:r>
        <w:t>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_Toc9983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1.2.2、 </w:t>
      </w:r>
      <w:r>
        <w:t>关闭拦截工具</w:t>
      </w:r>
      <w:r>
        <w:tab/>
      </w:r>
      <w:r>
        <w:fldChar w:fldCharType="begin"/>
      </w:r>
      <w:r>
        <w:instrText xml:space="preserve"> PAGEREF _Toc9983 \h </w:instrText>
      </w:r>
      <w:r>
        <w:fldChar w:fldCharType="separate"/>
      </w:r>
      <w:r>
        <w:t>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_Toc19336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1.2.3、 </w:t>
      </w:r>
      <w:r>
        <w:rPr>
          <w:rFonts w:hint="eastAsia"/>
        </w:rPr>
        <w:t>设置兼容性模式</w:t>
      </w:r>
      <w:r>
        <w:tab/>
      </w:r>
      <w:r>
        <w:fldChar w:fldCharType="begin"/>
      </w:r>
      <w:r>
        <w:instrText xml:space="preserve"> PAGEREF _Toc19336 \h </w:instrText>
      </w:r>
      <w:r>
        <w:fldChar w:fldCharType="separate"/>
      </w:r>
      <w:r>
        <w:t>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_Toc32115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t>驱动安装说明</w:t>
      </w:r>
      <w:r>
        <w:tab/>
      </w:r>
      <w:r>
        <w:fldChar w:fldCharType="begin"/>
      </w:r>
      <w:r>
        <w:instrText xml:space="preserve"> PAGEREF _Toc32115 \h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_Toc10508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1.3.1、 </w:t>
      </w:r>
      <w:r>
        <w:rPr>
          <w:rFonts w:hint="eastAsia"/>
        </w:rPr>
        <w:t>驱动下载</w:t>
      </w:r>
      <w:r>
        <w:tab/>
      </w:r>
      <w:r>
        <w:fldChar w:fldCharType="begin"/>
      </w:r>
      <w:r>
        <w:instrText xml:space="preserve"> PAGEREF _Toc10508 \h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_Toc16994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1.3.2、 </w:t>
      </w:r>
      <w:r>
        <w:t>安装驱动程序</w:t>
      </w:r>
      <w:r>
        <w:tab/>
      </w:r>
      <w:r>
        <w:fldChar w:fldCharType="begin"/>
      </w:r>
      <w:r>
        <w:instrText xml:space="preserve"> PAGEREF _Toc16994 \h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_Toc16749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</w:rPr>
        <w:t>二、 业务管理</w:t>
      </w:r>
      <w:r>
        <w:tab/>
      </w:r>
      <w:r>
        <w:fldChar w:fldCharType="begin"/>
      </w:r>
      <w:r>
        <w:instrText xml:space="preserve"> PAGEREF _Toc16749 \h </w:instrText>
      </w:r>
      <w:r>
        <w:fldChar w:fldCharType="separate"/>
      </w:r>
      <w:r>
        <w:t>12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_Toc17624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eastAsia="思源宋体 CN ExtraLight" w:cs="Times New Roman"/>
        </w:rPr>
        <w:t xml:space="preserve">2.1、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招标公告</w:t>
      </w:r>
      <w:r>
        <w:tab/>
      </w:r>
      <w:r>
        <w:fldChar w:fldCharType="begin"/>
      </w:r>
      <w:r>
        <w:instrText xml:space="preserve"> PAGEREF _Toc17624 \h </w:instrText>
      </w:r>
      <w:r>
        <w:fldChar w:fldCharType="separate"/>
      </w:r>
      <w:r>
        <w:t>12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_Toc21480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我要投标</w:t>
      </w:r>
      <w:r>
        <w:tab/>
      </w:r>
      <w:r>
        <w:fldChar w:fldCharType="begin"/>
      </w:r>
      <w:r>
        <w:instrText xml:space="preserve"> PAGEREF _Toc21480 \h </w:instrText>
      </w:r>
      <w:r>
        <w:fldChar w:fldCharType="separate"/>
      </w:r>
      <w:r>
        <w:t>12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_Toc18929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2.1.2、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_Toc18929 \h </w:instrText>
      </w:r>
      <w:r>
        <w:fldChar w:fldCharType="separate"/>
      </w:r>
      <w:r>
        <w:t>12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_Toc28825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eastAsia="思源宋体 CN ExtraLight" w:cs="Times New Roman"/>
        </w:rPr>
        <w:t xml:space="preserve">2.2、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_Toc28825 \h </w:instrText>
      </w:r>
      <w:r>
        <w:fldChar w:fldCharType="separate"/>
      </w:r>
      <w:r>
        <w:t>13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_Toc19208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2.2.1、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资审文件领取</w:t>
      </w:r>
      <w:r>
        <w:tab/>
      </w:r>
      <w:r>
        <w:fldChar w:fldCharType="begin"/>
      </w:r>
      <w:r>
        <w:instrText xml:space="preserve"> PAGEREF _Toc19208 \h </w:instrText>
      </w:r>
      <w:r>
        <w:fldChar w:fldCharType="separate"/>
      </w:r>
      <w:r>
        <w:t>13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_Toc22130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2.2.2、 </w:t>
      </w:r>
      <w:r>
        <w:rPr>
          <w:rFonts w:hint="eastAsia" w:ascii="思源宋体 CN ExtraLight" w:hAnsi="思源宋体 CN ExtraLight" w:eastAsia="思源宋体 CN ExtraLight" w:cs="思源宋体 CN ExtraLight"/>
        </w:rPr>
        <w:t>资审澄清文件领取</w:t>
      </w:r>
      <w:r>
        <w:tab/>
      </w:r>
      <w:r>
        <w:fldChar w:fldCharType="begin"/>
      </w:r>
      <w:r>
        <w:instrText xml:space="preserve"> PAGEREF _Toc22130 \h </w:instrText>
      </w:r>
      <w:r>
        <w:fldChar w:fldCharType="separate"/>
      </w:r>
      <w:r>
        <w:t>15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_Toc4676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2.2.3、 </w:t>
      </w:r>
      <w:r>
        <w:rPr>
          <w:rFonts w:hint="eastAsia" w:ascii="思源宋体 CN ExtraLight" w:hAnsi="思源宋体 CN ExtraLight" w:eastAsia="思源宋体 CN ExtraLight" w:cs="思源宋体 CN ExtraLight"/>
        </w:rPr>
        <w:t>上传资审文件</w:t>
      </w:r>
      <w:r>
        <w:tab/>
      </w:r>
      <w:r>
        <w:fldChar w:fldCharType="begin"/>
      </w:r>
      <w:r>
        <w:instrText xml:space="preserve"> PAGEREF _Toc4676 \h </w:instrText>
      </w:r>
      <w:r>
        <w:fldChar w:fldCharType="separate"/>
      </w:r>
      <w:r>
        <w:t>17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_Toc31250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2.2.4、 </w:t>
      </w:r>
      <w:r>
        <w:rPr>
          <w:rFonts w:hint="eastAsia" w:ascii="思源宋体 CN ExtraLight" w:hAnsi="思源宋体 CN ExtraLight" w:eastAsia="思源宋体 CN ExtraLight" w:cs="思源宋体 CN ExtraLight"/>
        </w:rPr>
        <w:t>资审结果通知书</w:t>
      </w:r>
      <w:r>
        <w:tab/>
      </w:r>
      <w:r>
        <w:fldChar w:fldCharType="begin"/>
      </w:r>
      <w:r>
        <w:instrText xml:space="preserve"> PAGEREF _Toc31250 \h </w:instrText>
      </w:r>
      <w:r>
        <w:fldChar w:fldCharType="separate"/>
      </w:r>
      <w:r>
        <w:t>18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_Toc4233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2.2.5、 </w:t>
      </w:r>
      <w:r>
        <w:rPr>
          <w:rFonts w:hint="eastAsia" w:ascii="思源宋体 CN ExtraLight" w:hAnsi="思源宋体 CN ExtraLight" w:eastAsia="思源宋体 CN ExtraLight" w:cs="思源宋体 CN ExtraLight"/>
        </w:rPr>
        <w:t>招标文件领取</w:t>
      </w:r>
      <w:r>
        <w:tab/>
      </w:r>
      <w:r>
        <w:fldChar w:fldCharType="begin"/>
      </w:r>
      <w:r>
        <w:instrText xml:space="preserve"> PAGEREF _Toc4233 \h </w:instrText>
      </w:r>
      <w:r>
        <w:fldChar w:fldCharType="separate"/>
      </w:r>
      <w:r>
        <w:t>19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_Toc17514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2.2.6、 </w:t>
      </w:r>
      <w:r>
        <w:rPr>
          <w:rFonts w:hint="eastAsia" w:ascii="思源宋体 CN ExtraLight" w:hAnsi="思源宋体 CN ExtraLight" w:eastAsia="思源宋体 CN ExtraLight" w:cs="思源宋体 CN ExtraLight"/>
        </w:rPr>
        <w:t>答疑澄清文件领取</w:t>
      </w:r>
      <w:r>
        <w:tab/>
      </w:r>
      <w:r>
        <w:fldChar w:fldCharType="begin"/>
      </w:r>
      <w:r>
        <w:instrText xml:space="preserve"> PAGEREF _Toc17514 \h </w:instrText>
      </w:r>
      <w:r>
        <w:fldChar w:fldCharType="separate"/>
      </w:r>
      <w:r>
        <w:t>20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_Toc24616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2.2.7、 </w:t>
      </w:r>
      <w:r>
        <w:rPr>
          <w:rFonts w:hint="eastAsia" w:ascii="思源宋体 CN ExtraLight" w:hAnsi="思源宋体 CN ExtraLight" w:eastAsia="思源宋体 CN ExtraLight" w:cs="思源宋体 CN ExtraLight"/>
        </w:rPr>
        <w:t>控制价文件领取</w:t>
      </w:r>
      <w:r>
        <w:tab/>
      </w:r>
      <w:r>
        <w:fldChar w:fldCharType="begin"/>
      </w:r>
      <w:r>
        <w:instrText xml:space="preserve"> PAGEREF _Toc24616 \h </w:instrText>
      </w:r>
      <w:r>
        <w:fldChar w:fldCharType="separate"/>
      </w:r>
      <w:r>
        <w:t>22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_Toc20286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2.2.8、 </w:t>
      </w:r>
      <w:r>
        <w:rPr>
          <w:rFonts w:hint="eastAsia" w:ascii="思源宋体 CN ExtraLight" w:hAnsi="思源宋体 CN ExtraLight" w:eastAsia="思源宋体 CN ExtraLight" w:cs="思源宋体 CN ExtraLight"/>
        </w:rPr>
        <w:t>投标保证金</w:t>
      </w:r>
      <w:r>
        <w:tab/>
      </w:r>
      <w:r>
        <w:fldChar w:fldCharType="begin"/>
      </w:r>
      <w:r>
        <w:instrText xml:space="preserve"> PAGEREF _Toc20286 \h </w:instrText>
      </w:r>
      <w:r>
        <w:fldChar w:fldCharType="separate"/>
      </w:r>
      <w:r>
        <w:t>23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_Toc16823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2.2.9、 </w:t>
      </w:r>
      <w:r>
        <w:rPr>
          <w:rFonts w:hint="eastAsia" w:ascii="思源宋体 CN ExtraLight" w:hAnsi="思源宋体 CN ExtraLight" w:eastAsia="思源宋体 CN ExtraLight" w:cs="思源宋体 CN ExtraLight"/>
        </w:rPr>
        <w:t>上传投标文件</w:t>
      </w:r>
      <w:r>
        <w:tab/>
      </w:r>
      <w:r>
        <w:fldChar w:fldCharType="begin"/>
      </w:r>
      <w:r>
        <w:instrText xml:space="preserve"> PAGEREF _Toc16823 \h </w:instrText>
      </w:r>
      <w:r>
        <w:fldChar w:fldCharType="separate"/>
      </w:r>
      <w:r>
        <w:t>24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_Toc22286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default" w:ascii="Times New Roman" w:hAnsi="Times New Roman" w:eastAsia="思源宋体 CN ExtraLight" w:cs="Times New Roman"/>
        </w:rPr>
        <w:t xml:space="preserve">2.3、 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_Toc22286 \h </w:instrText>
      </w:r>
      <w:r>
        <w:fldChar w:fldCharType="separate"/>
      </w:r>
      <w:r>
        <w:t>25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pStyle w:val="10"/>
        <w:tabs>
          <w:tab w:val="right" w:leader="dot" w:pos="8306"/>
          <w:tab w:val="clear" w:pos="8296"/>
        </w:tabs>
      </w:pPr>
      <w:r>
        <w:rPr>
          <w:rFonts w:cs="Calibri"/>
          <w:bCs/>
          <w:caps/>
          <w:szCs w:val="20"/>
        </w:rPr>
        <w:fldChar w:fldCharType="begin"/>
      </w:r>
      <w:r>
        <w:rPr>
          <w:rFonts w:cs="Calibri"/>
          <w:bCs/>
          <w:caps/>
          <w:szCs w:val="20"/>
        </w:rPr>
        <w:instrText xml:space="preserve"> HYPERLINK \l _Toc3317 </w:instrText>
      </w:r>
      <w:r>
        <w:rPr>
          <w:rFonts w:cs="Calibri"/>
          <w:bCs/>
          <w:caps/>
          <w:szCs w:val="20"/>
        </w:rPr>
        <w:fldChar w:fldCharType="separate"/>
      </w:r>
      <w:r>
        <w:rPr>
          <w:rFonts w:hint="eastAsia" w:ascii="Times New Roman" w:hAnsi="Times New Roman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2.3.1、 </w:t>
      </w:r>
      <w:r>
        <w:rPr>
          <w:rFonts w:hint="eastAsia" w:ascii="思源宋体 CN ExtraLight" w:hAnsi="思源宋体 CN ExtraLight" w:eastAsia="思源宋体 CN ExtraLight" w:cs="思源宋体 CN ExtraLight"/>
        </w:rPr>
        <w:t>中标通知书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_Toc3317 \h </w:instrText>
      </w:r>
      <w:r>
        <w:fldChar w:fldCharType="separate"/>
      </w:r>
      <w:r>
        <w:t>25</w:t>
      </w:r>
      <w:r>
        <w:fldChar w:fldCharType="end"/>
      </w: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/>
    <w:p/>
    <w:p/>
    <w:p/>
    <w:p/>
    <w:p>
      <w:pPr>
        <w:pStyle w:val="2"/>
        <w:tabs>
          <w:tab w:val="left" w:pos="425"/>
        </w:tabs>
      </w:pPr>
      <w:bookmarkStart w:id="0" w:name="_Toc346183627"/>
      <w:bookmarkStart w:id="1" w:name="_Toc346701723"/>
      <w:bookmarkStart w:id="2" w:name="_Toc25268"/>
      <w:r>
        <w:t>系统前期准备</w:t>
      </w:r>
      <w:bookmarkEnd w:id="0"/>
      <w:bookmarkEnd w:id="1"/>
      <w:bookmarkEnd w:id="2"/>
    </w:p>
    <w:p>
      <w:pPr>
        <w:pStyle w:val="3"/>
      </w:pPr>
      <w:bookmarkStart w:id="3" w:name="_Toc5453"/>
      <w:bookmarkStart w:id="4" w:name="_Toc346183628"/>
      <w:bookmarkStart w:id="5" w:name="_Toc346701724"/>
      <w:r>
        <w:rPr>
          <w:rFonts w:hint="eastAsia"/>
        </w:rPr>
        <w:t>系统地址及登录</w:t>
      </w:r>
      <w:bookmarkEnd w:id="3"/>
    </w:p>
    <w:p>
      <w:pPr>
        <w:pStyle w:val="4"/>
      </w:pPr>
      <w:bookmarkStart w:id="6" w:name="_Toc26760"/>
      <w:r>
        <w:rPr>
          <w:rFonts w:hint="eastAsia"/>
        </w:rPr>
        <w:t>系统地址</w:t>
      </w:r>
      <w:bookmarkEnd w:id="6"/>
    </w:p>
    <w:p>
      <w:pPr>
        <w:ind w:firstLine="435"/>
      </w:pPr>
      <w:r>
        <w:rPr>
          <w:rFonts w:hint="eastAsia"/>
        </w:rPr>
        <w:t>陕西省公共资源交易平台网站域名是：</w:t>
      </w:r>
      <w:r>
        <w:t>http://www.sxggzyjy.cn/</w:t>
      </w:r>
    </w:p>
    <w:p>
      <w:pPr>
        <w:ind w:firstLine="435"/>
      </w:pPr>
      <w:r>
        <w:rPr>
          <w:rFonts w:hint="eastAsia"/>
        </w:rPr>
        <w:t>会员单位用IE浏览器输入该上述网址后进入下图页面：</w:t>
      </w:r>
    </w:p>
    <w:p>
      <w:r>
        <w:drawing>
          <wp:inline distT="0" distB="0" distL="114300" distR="114300">
            <wp:extent cx="5264785" cy="2741930"/>
            <wp:effectExtent l="0" t="0" r="1206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" w:firstLineChars="50"/>
      </w:pPr>
    </w:p>
    <w:p>
      <w:pPr>
        <w:ind w:firstLine="525" w:firstLineChars="250"/>
      </w:pPr>
      <w:r>
        <w:rPr>
          <w:rFonts w:hint="eastAsia"/>
        </w:rPr>
        <w:t>然后点击“电子交易平台”，进入业务系统选择界面。</w:t>
      </w:r>
    </w:p>
    <w:p>
      <w:pPr>
        <w:ind w:firstLine="525" w:firstLineChars="250"/>
      </w:pPr>
    </w:p>
    <w:p>
      <w:r>
        <w:drawing>
          <wp:inline distT="0" distB="0" distL="114300" distR="114300">
            <wp:extent cx="5266690" cy="3140710"/>
            <wp:effectExtent l="0" t="0" r="1016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25" w:firstLineChars="250"/>
      </w:pPr>
      <w:r>
        <w:rPr>
          <w:rFonts w:hint="eastAsia"/>
        </w:rPr>
        <w:t>然后点击“</w:t>
      </w:r>
      <w:r>
        <w:rPr>
          <w:rFonts w:hint="eastAsia"/>
          <w:lang w:val="en-US" w:eastAsia="zh-CN"/>
        </w:rPr>
        <w:t>新点软件工程建设交易系统</w:t>
      </w:r>
      <w:r>
        <w:rPr>
          <w:rFonts w:hint="eastAsia"/>
        </w:rPr>
        <w:t>”，进入企业端系统登录界面。</w:t>
      </w:r>
    </w:p>
    <w:p/>
    <w:p>
      <w:pPr>
        <w:ind w:firstLine="525" w:firstLineChars="250"/>
      </w:pPr>
      <w:r>
        <w:rPr>
          <w:rFonts w:hint="eastAsia"/>
        </w:rPr>
        <w:t>然后选择证书key登录，插上已激活后的CA锁，输入密码进行登录。</w:t>
      </w:r>
    </w:p>
    <w:p>
      <w:pPr>
        <w:pStyle w:val="3"/>
      </w:pPr>
      <w:bookmarkStart w:id="7" w:name="_Toc4472"/>
      <w:r>
        <w:t>浏览器配置</w:t>
      </w:r>
      <w:bookmarkEnd w:id="7"/>
    </w:p>
    <w:p>
      <w:pPr>
        <w:pStyle w:val="4"/>
        <w:ind w:left="1072" w:hanging="1072"/>
      </w:pPr>
      <w:bookmarkStart w:id="8" w:name="_Toc17334"/>
      <w:r>
        <w:t>Internet选项</w:t>
      </w:r>
      <w:bookmarkEnd w:id="8"/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38550" cy="3971925"/>
            <wp:effectExtent l="19050" t="0" r="0" b="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0" distR="0">
            <wp:extent cx="3980815" cy="4704715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输入系统服务器的IP地址，格式例如：</w:t>
      </w:r>
      <w:r>
        <w:rPr>
          <w:rFonts w:hint="eastAsia"/>
          <w:spacing w:val="4"/>
        </w:rPr>
        <w:t>222.143.20.34</w:t>
      </w:r>
      <w:r>
        <w:rPr>
          <w:spacing w:val="4"/>
        </w:rPr>
        <w:t>，然后点击“添加”按钮完成添加，再按“关闭”按钮退出。</w:t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43300" cy="4200525"/>
            <wp:effectExtent l="19050" t="0" r="0" b="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①会出现一个窗口，把其中的Activex控件和插件的设置全部改为启用。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4114800" cy="3829050"/>
            <wp:effectExtent l="19050" t="0" r="0" b="0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②文件下载设置，开放文件下载的权限：设置为启用。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9" w:name="_Toc9983"/>
      <w:r>
        <w:t>关闭拦截工具</w:t>
      </w:r>
      <w:bookmarkEnd w:id="9"/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28"/>
        <w:spacing w:line="360" w:lineRule="auto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19336"/>
      <w:r>
        <w:rPr>
          <w:rFonts w:hint="eastAsia"/>
        </w:rPr>
        <w:t>设置兼容性模式</w:t>
      </w:r>
      <w:bookmarkEnd w:id="10"/>
    </w:p>
    <w:p>
      <w:pPr>
        <w:pStyle w:val="28"/>
        <w:ind w:firstLine="360"/>
      </w:pPr>
      <w:r>
        <w:rPr>
          <w:rFonts w:hint="eastAsia"/>
        </w:rPr>
        <w:t>点击IE菜单栏里边的工具-兼容性视图设置，如下图：</w:t>
      </w:r>
    </w:p>
    <w:p>
      <w:pPr>
        <w:pStyle w:val="28"/>
        <w:ind w:firstLine="360"/>
      </w:pPr>
      <w:r>
        <w:drawing>
          <wp:inline distT="0" distB="0" distL="0" distR="0">
            <wp:extent cx="5274310" cy="27552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360"/>
      </w:pPr>
    </w:p>
    <w:p>
      <w:pPr>
        <w:pStyle w:val="28"/>
        <w:ind w:firstLine="360"/>
      </w:pPr>
      <w:r>
        <w:rPr>
          <w:rFonts w:hint="eastAsia"/>
        </w:rPr>
        <w:t>进入如下页面：</w:t>
      </w:r>
    </w:p>
    <w:p>
      <w:pPr>
        <w:pStyle w:val="28"/>
        <w:ind w:firstLine="360"/>
      </w:pPr>
      <w:r>
        <w:drawing>
          <wp:inline distT="0" distB="0" distL="0" distR="0">
            <wp:extent cx="4171315" cy="549465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360"/>
      </w:pPr>
    </w:p>
    <w:p>
      <w:pPr>
        <w:pStyle w:val="28"/>
        <w:ind w:firstLine="360"/>
      </w:pPr>
      <w:r>
        <w:rPr>
          <w:rFonts w:hint="eastAsia"/>
        </w:rPr>
        <w:t>将网站地址</w:t>
      </w:r>
      <w:r>
        <w:rPr>
          <w:spacing w:val="4"/>
        </w:rPr>
        <w:t>sxggzyjy.cn</w:t>
      </w:r>
      <w:r>
        <w:rPr>
          <w:rFonts w:hint="eastAsia"/>
        </w:rPr>
        <w:t>添加进去即可。</w:t>
      </w:r>
    </w:p>
    <w:p/>
    <w:p>
      <w:pPr>
        <w:pStyle w:val="3"/>
      </w:pPr>
      <w:bookmarkStart w:id="11" w:name="_Toc32115"/>
      <w:r>
        <w:t>驱动安装说明</w:t>
      </w:r>
      <w:bookmarkEnd w:id="4"/>
      <w:bookmarkEnd w:id="5"/>
      <w:bookmarkEnd w:id="11"/>
    </w:p>
    <w:p>
      <w:pPr>
        <w:pStyle w:val="4"/>
      </w:pPr>
      <w:bookmarkStart w:id="12" w:name="_Toc10508"/>
      <w:r>
        <w:rPr>
          <w:rFonts w:hint="eastAsia"/>
        </w:rPr>
        <w:t>驱动下载</w:t>
      </w:r>
      <w:bookmarkEnd w:id="12"/>
    </w:p>
    <w:p>
      <w:pPr>
        <w:ind w:left="315" w:leftChars="50" w:hanging="210" w:hangingChars="100"/>
      </w:pPr>
      <w:r>
        <w:rPr>
          <w:rFonts w:hint="eastAsia"/>
        </w:rPr>
        <w:t>在会员系统登录的首界面下载驱动，如下图红框处。</w:t>
      </w:r>
    </w:p>
    <w:p>
      <w:pPr>
        <w:ind w:left="315" w:leftChars="50" w:hanging="210" w:hangingChars="100"/>
      </w:pPr>
      <w:r>
        <w:drawing>
          <wp:inline distT="0" distB="0" distL="0" distR="0">
            <wp:extent cx="5274310" cy="24015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leftChars="50" w:hanging="210" w:hangingChars="100"/>
      </w:pPr>
    </w:p>
    <w:p>
      <w:pPr>
        <w:pStyle w:val="4"/>
        <w:ind w:left="1072" w:hanging="1072"/>
      </w:pPr>
      <w:bookmarkStart w:id="13" w:name="_Toc346183629"/>
      <w:bookmarkStart w:id="14" w:name="_Toc16994"/>
      <w:bookmarkStart w:id="15" w:name="_Toc346701725"/>
      <w:r>
        <w:t>安装驱动程序</w:t>
      </w:r>
      <w:bookmarkEnd w:id="13"/>
      <w:bookmarkEnd w:id="14"/>
      <w:bookmarkEnd w:id="15"/>
    </w:p>
    <w:p>
      <w:pPr>
        <w:pStyle w:val="31"/>
        <w:numPr>
          <w:ilvl w:val="0"/>
          <w:numId w:val="2"/>
        </w:numPr>
        <w:spacing w:line="360" w:lineRule="auto"/>
        <w:ind w:firstLineChars="0"/>
        <w:rPr>
          <w:b/>
          <w:color w:val="FF0000"/>
          <w:spacing w:val="4"/>
        </w:rPr>
      </w:pPr>
      <w:r>
        <w:rPr>
          <w:spacing w:val="4"/>
        </w:rPr>
        <w:t>双击安装程序</w:t>
      </w:r>
      <w:r>
        <w:drawing>
          <wp:inline distT="0" distB="0" distL="0" distR="0">
            <wp:extent cx="580390" cy="961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  <w:t>，进入安装页面。</w:t>
      </w:r>
      <w:r>
        <w:rPr>
          <w:rFonts w:hint="eastAsia"/>
          <w:b/>
          <w:color w:val="FF0000"/>
          <w:spacing w:val="4"/>
        </w:rPr>
        <w:t>注意安装过程中电脑不要插CA锁</w:t>
      </w:r>
    </w:p>
    <w:p>
      <w:pPr>
        <w:spacing w:line="360" w:lineRule="auto"/>
        <w:rPr>
          <w:spacing w:val="4"/>
        </w:rPr>
      </w:pPr>
      <w: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2、点击快速安装，进入安装页面。</w:t>
      </w:r>
    </w:p>
    <w:p>
      <w:pPr>
        <w:pStyle w:val="28"/>
        <w:spacing w:line="360" w:lineRule="auto"/>
        <w:ind w:firstLine="0" w:firstLineChars="0"/>
        <w:jc w:val="center"/>
        <w:rPr>
          <w:b/>
          <w:spacing w:val="4"/>
        </w:rPr>
      </w:pPr>
      <w: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3、点击确定</w:t>
      </w: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0" distR="0">
            <wp:extent cx="4790440" cy="34378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4、点击完成，驱动安装成功。</w:t>
      </w:r>
    </w:p>
    <w:p>
      <w:pPr>
        <w:pStyle w:val="28"/>
        <w:spacing w:line="360" w:lineRule="auto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  <w:sz w:val="21"/>
        </w:rPr>
        <w:drawing>
          <wp:inline distT="0" distB="0" distL="0" distR="0">
            <wp:extent cx="5274310" cy="3955415"/>
            <wp:effectExtent l="0" t="0" r="2540" b="6985"/>
            <wp:docPr id="17" name="图片 17" descr="C:\Users\Administrator\Desktop\QQ截图2017102510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QQ截图201710251034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rFonts w:hint="eastAsia"/>
          <w:spacing w:val="4"/>
        </w:rPr>
        <w:t>按照程序的提示进行安装。</w:t>
      </w:r>
      <w:r>
        <w:rPr>
          <w:rFonts w:hint="eastAsia"/>
          <w:b/>
          <w:color w:val="FF0000"/>
          <w:spacing w:val="4"/>
        </w:rPr>
        <w:t>注意安装过程中电脑不要插CA锁</w:t>
      </w:r>
    </w:p>
    <w:p>
      <w:pPr>
        <w:pStyle w:val="28"/>
        <w:spacing w:line="360" w:lineRule="auto"/>
        <w:ind w:firstLine="0" w:firstLineChars="0"/>
        <w:jc w:val="center"/>
        <w:rPr>
          <w:b/>
          <w:spacing w:val="4"/>
        </w:rPr>
      </w:pP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2"/>
        <w:tabs>
          <w:tab w:val="left" w:pos="425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6" w:name="_Toc16749"/>
      <w:bookmarkStart w:id="17" w:name="_Toc24447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业务管理</w:t>
      </w:r>
      <w:bookmarkEnd w:id="16"/>
      <w:bookmarkEnd w:id="17"/>
    </w:p>
    <w:p>
      <w:pPr>
        <w:pStyle w:val="3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27170"/>
      <w:bookmarkStart w:id="19" w:name="_Toc17624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bookmarkEnd w:id="18"/>
      <w:bookmarkEnd w:id="19"/>
    </w:p>
    <w:p>
      <w:pPr>
        <w:pStyle w:val="4"/>
        <w:widowControl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0" w:name="_Toc21480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我要投标</w:t>
      </w:r>
      <w:bookmarkEnd w:id="20"/>
    </w:p>
    <w:p>
      <w:pP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招标公告/资格预审公告以及招标文件/资审文件审核通过。</w:t>
      </w:r>
    </w:p>
    <w:p>
      <w:pP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投标人进行报名。</w:t>
      </w:r>
    </w:p>
    <w:p>
      <w:pP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2741930"/>
            <wp:effectExtent l="0" t="0" r="12065" b="127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选中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公告中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我要投标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4310" cy="1475740"/>
            <wp:effectExtent l="0" t="0" r="2540" b="10160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1" w:name="_Toc18929"/>
      <w:bookmarkStart w:id="22" w:name="_Toc15149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查看公告详情</w:t>
      </w:r>
      <w:bookmarkEnd w:id="21"/>
      <w:bookmarkEnd w:id="22"/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查看招标公告/资格预审公告详情。</w:t>
      </w:r>
    </w:p>
    <w:p>
      <w:pP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2741930"/>
            <wp:effectExtent l="0" t="0" r="12065" b="1270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2、招标公告列表页面，鼠标放置标段上，点击“公告详情”按钮，进入公告详情页面，如下图：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2560" cy="973455"/>
            <wp:effectExtent l="0" t="0" r="15240" b="17145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1741805"/>
            <wp:effectExtent l="0" t="0" r="4445" b="10795"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3" w:name="_Toc28825"/>
      <w:bookmarkStart w:id="24" w:name="_Toc10913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bookmarkEnd w:id="23"/>
      <w:bookmarkEnd w:id="24"/>
    </w:p>
    <w:p>
      <w:pPr>
        <w:pStyle w:val="4"/>
        <w:widowControl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5" w:name="_Toc19208"/>
      <w:bookmarkStart w:id="26" w:name="_Toc29547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资审文件领取</w:t>
      </w:r>
      <w:bookmarkEnd w:id="25"/>
      <w:bookmarkEnd w:id="26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资审文件审核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投标人领取资审文件。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对应标段，点击“项目流程”选项，进入项目流程页面，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67325" cy="1696085"/>
            <wp:effectExtent l="0" t="0" r="317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注：数字小图标也能点击进行下载领取。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项目流程页面，点击“资审文件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”选项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资审文件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9705" cy="2470150"/>
            <wp:effectExtent l="0" t="0" r="10795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3、资审文件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页面，点击“下载资审文件”选项，进入资审文件列表，如下图：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1400"/>
            <wp:effectExtent l="0" t="0" r="1206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1333500"/>
            <wp:effectExtent l="0" t="0" r="635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4、如果首次领取之后，可以在“我的项目”中找到该项目，重新下载该项目的对应资审文件；如下图所示：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551940"/>
            <wp:effectExtent l="0" t="0" r="7620" b="1016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444750"/>
            <wp:effectExtent l="0" t="0" r="317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注：若投标人报名时，已下载文件，“下载资审文件”变为橘黄色，可以查看下载情况</w:t>
      </w:r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7" w:name="_Toc22130"/>
      <w:bookmarkStart w:id="28" w:name="_Toc6853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资审澄清文件领取</w:t>
      </w:r>
      <w:bookmarkEnd w:id="27"/>
      <w:bookmarkEnd w:id="28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资审澄清文件审核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通过且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投标单位已经领取对应的资审文件。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投标人领取资审澄清文件。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对应标段，点击“项目流程”选项，进入项目流程页面，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39385" cy="1153795"/>
            <wp:effectExtent l="0" t="0" r="1841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项目流程页面，点击“资审澄清文件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资审澄清文件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下载”页面，如下图：</w:t>
      </w:r>
      <w:r>
        <w:drawing>
          <wp:inline distT="0" distB="0" distL="114300" distR="114300">
            <wp:extent cx="5273040" cy="1788795"/>
            <wp:effectExtent l="0" t="0" r="3810" b="1905"/>
            <wp:docPr id="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资审澄清文件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页面，点击“下载”按钮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下载资审澄清文件，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021205"/>
            <wp:effectExtent l="0" t="0" r="7620" b="17145"/>
            <wp:docPr id="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下载完成后，点击“回执函”按钮，点击“插入CA锁签章”进入“生成回执函”页面，如下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2405" cy="3000375"/>
            <wp:effectExtent l="0" t="0" r="4445" b="9525"/>
            <wp:docPr id="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38115" cy="1859280"/>
            <wp:effectExtent l="0" t="0" r="635" b="762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5、签章并提交后，关掉回执函页面后，资审澄清文件下载页面，回执函显示为“已签章”如下图：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3169285"/>
            <wp:effectExtent l="0" t="0" r="11430" b="12065"/>
            <wp:docPr id="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9" w:name="_Toc2560"/>
      <w:bookmarkStart w:id="30" w:name="_Toc4676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上传资审文件</w:t>
      </w:r>
      <w:bookmarkEnd w:id="29"/>
      <w:bookmarkEnd w:id="30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已经预约资审时间，未过文件递交时间。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投标人上传对应的资审申请文件。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项目流程页面，点击“上传资审文件”菜单，进入上传资审申请文件页面，如下图：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2717800"/>
            <wp:effectExtent l="0" t="0" r="12065" b="6350"/>
            <wp:docPr id="1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上传资审申请文件页面，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资审申请文件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583815"/>
            <wp:effectExtent l="0" t="0" r="10795" b="6985"/>
            <wp:docPr id="1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注：网招才走这个模块，到了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文件递交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截止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时间，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上传资审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申请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="420" w:left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1" w:name="_Toc31250"/>
      <w:bookmarkStart w:id="32" w:name="_Toc20253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资审结果通知书</w:t>
      </w:r>
      <w:bookmarkEnd w:id="31"/>
      <w:bookmarkEnd w:id="32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资审结果备案审核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对资审结果通知书进行确认（需要签章）。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资审结果通知书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资审结果通知书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3195" cy="2623185"/>
            <wp:effectExtent l="0" t="0" r="14605" b="571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资审结果通知书页面，有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确认参加”、“确认不参加”按钮来进行确认，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7005" cy="1600835"/>
            <wp:effectExtent l="0" t="0" r="10795" b="18415"/>
            <wp:docPr id="1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确认参加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”、“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确认不参加”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按钮，弹出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生成邀请反馈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37480" cy="1846580"/>
            <wp:effectExtent l="0" t="0" r="1270" b="127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4、签章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并提交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完毕后，返回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到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资审结果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页面，此时页面多了一个回执函，且显示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已签章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字样，如下图：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38750" cy="1316355"/>
            <wp:effectExtent l="0" t="0" r="0" b="17145"/>
            <wp:docPr id="1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注：签完章后，无法再修改，默认之前点击的状态。未签章时，可以多次修改，只要开标时间还没到。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3" w:name="_Toc11561"/>
      <w:bookmarkStart w:id="34" w:name="_Toc4233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招标文件领取</w:t>
      </w:r>
      <w:bookmarkEnd w:id="33"/>
      <w:bookmarkEnd w:id="34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招标文件备案审核通过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且招标文件发售时间还未截止。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找到需要领取招标文件的标段，点击“项目流程”按钮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1478280"/>
            <wp:effectExtent l="0" t="0" r="5080" b="76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515235"/>
            <wp:effectExtent l="0" t="0" r="1905" b="1206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招标文件领取页面，可以进行招标文件下载。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515235"/>
            <wp:effectExtent l="0" t="0" r="190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666875"/>
            <wp:effectExtent l="0" t="0" r="0" b="952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4、如果首次领取之后，可以在“我的项目”中找到该项目，重新下载该项目的对应的招标文件；如下图所示：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551940"/>
            <wp:effectExtent l="0" t="0" r="7620" b="1016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473960"/>
            <wp:effectExtent l="0" t="0" r="11430" b="254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Toc21679"/>
      <w:bookmarkStart w:id="36" w:name="_Toc17514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35"/>
      <w:bookmarkEnd w:id="36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找到需要领取答疑澄清文件的标段，点击“项目流程”按钮，如下图：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7005" cy="1936750"/>
            <wp:effectExtent l="0" t="0" r="10795" b="6350"/>
            <wp:docPr id="16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2288540"/>
            <wp:effectExtent l="0" t="0" r="12065" b="16510"/>
            <wp:docPr id="10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128520"/>
            <wp:effectExtent l="0" t="0" r="3810" b="5080"/>
            <wp:docPr id="10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下载完后，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递交回执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9865" cy="2268855"/>
            <wp:effectExtent l="0" t="0" r="6985" b="17145"/>
            <wp:docPr id="10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7" w:name="_GoBack"/>
      <w:r>
        <w:drawing>
          <wp:inline distT="0" distB="0" distL="114300" distR="114300">
            <wp:extent cx="5272405" cy="3202305"/>
            <wp:effectExtent l="0" t="0" r="4445" b="17145"/>
            <wp:docPr id="1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7"/>
    </w:p>
    <w:p>
      <w:pPr>
        <w:ind w:firstLine="424" w:firstLineChars="20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7" w:name="_Toc24616"/>
      <w:bookmarkStart w:id="38" w:name="_Toc20687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控制价文件领取</w:t>
      </w:r>
      <w:bookmarkEnd w:id="37"/>
      <w:bookmarkEnd w:id="38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控制价文件审核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领取对应控制价文件。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找到需要领取控制价文件的标段，点击“项目流程”，如下图：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7005" cy="1936750"/>
            <wp:effectExtent l="0" t="0" r="10795" b="6350"/>
            <wp:docPr id="17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472055"/>
            <wp:effectExtent l="0" t="0" r="7620" b="4445"/>
            <wp:docPr id="10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控制价文件下载页面，点击“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文件，如下图：</w:t>
      </w:r>
      <w:r>
        <w:drawing>
          <wp:inline distT="0" distB="0" distL="114300" distR="114300">
            <wp:extent cx="5272405" cy="1320800"/>
            <wp:effectExtent l="0" t="0" r="4445" b="12700"/>
            <wp:docPr id="1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9" w:name="_Toc20286"/>
      <w:bookmarkStart w:id="40" w:name="_Toc7497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投标保证金</w:t>
      </w:r>
      <w:bookmarkEnd w:id="39"/>
      <w:bookmarkEnd w:id="40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4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点击右侧项目查看中的”保证金查询“菜单，可以查看保证金缴纳状态和金额，如下图：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415540"/>
            <wp:effectExtent l="0" t="0" r="6350" b="3810"/>
            <wp:docPr id="1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266950"/>
            <wp:effectExtent l="0" t="0" r="11430" b="0"/>
            <wp:docPr id="1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1" w:name="_Toc27257"/>
      <w:bookmarkStart w:id="42" w:name="_Toc16823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bookmarkEnd w:id="41"/>
      <w:bookmarkEnd w:id="42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项目流程页面，点击“上传投标文件”菜单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741295"/>
            <wp:effectExtent l="0" t="0" r="6985" b="1905"/>
            <wp:docPr id="1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点击“上传投标文件”按钮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3096260"/>
            <wp:effectExtent l="0" t="0" r="13970" b="8890"/>
            <wp:docPr id="1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22286"/>
      <w:bookmarkStart w:id="44" w:name="_Toc18964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中标项目</w:t>
      </w:r>
      <w:bookmarkEnd w:id="43"/>
      <w:bookmarkEnd w:id="44"/>
    </w:p>
    <w:p>
      <w:pPr>
        <w:pStyle w:val="4"/>
        <w:tabs>
          <w:tab w:val="left" w:pos="567"/>
        </w:tabs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5" w:name="_Toc1048"/>
      <w:bookmarkStart w:id="46" w:name="_Toc3317"/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bookmarkEnd w:id="45"/>
      <w:bookmarkEnd w:id="46"/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eastAsia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45100" cy="1963420"/>
            <wp:effectExtent l="0" t="0" r="12700" b="17780"/>
            <wp:docPr id="19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numPr>
          <w:ilvl w:val="0"/>
          <w:numId w:val="0"/>
        </w:num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查看”菜单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进入打印中标通知书页面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、打印中标通知书页面，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查看或打印中标通知书，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312670"/>
            <wp:effectExtent l="0" t="0" r="5715" b="11430"/>
            <wp:docPr id="1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right"/>
      <w:rPr>
        <w:i/>
        <w:iCs/>
        <w:color w:val="8C8C8C"/>
      </w:rPr>
    </w:pPr>
    <w:r>
      <w:rPr>
        <w:rFonts w:hint="eastAsia"/>
      </w:rPr>
      <w:t xml:space="preserve">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25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rPr>
        <w:rFonts w:hint="eastAsia" w:eastAsia="宋体"/>
        <w:lang w:val="en-US" w:eastAsia="zh-CN"/>
      </w:rPr>
    </w:pPr>
    <w:r>
      <w:rPr>
        <w:rFonts w:hint="eastAsia"/>
      </w:rPr>
      <w:t>陕西省省公共资源交易中心</w:t>
    </w:r>
    <w:r>
      <w:rPr>
        <w:rFonts w:hint="eastAsia"/>
        <w:lang w:val="en-US" w:eastAsia="zh-CN"/>
      </w:rPr>
      <w:t>工程建设投标单位</w:t>
    </w:r>
    <w:r>
      <w:rPr>
        <w:rFonts w:hint="eastAsia"/>
      </w:rPr>
      <w:t>操作</w:t>
    </w:r>
    <w:r>
      <w:rPr>
        <w:rFonts w:hint="eastAsia"/>
        <w:lang w:val="en-US" w:eastAsia="zh-CN"/>
      </w:rP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6AB693"/>
    <w:multiLevelType w:val="singleLevel"/>
    <w:tmpl w:val="FC6AB693"/>
    <w:lvl w:ilvl="0" w:tentative="0">
      <w:start w:val="2"/>
      <w:numFmt w:val="decimal"/>
      <w:suff w:val="nothing"/>
      <w:lvlText w:val="%1、"/>
      <w:lvlJc w:val="left"/>
      <w:pPr>
        <w:ind w:left="0" w:leftChars="0" w:firstLine="0" w:firstLineChars="0"/>
      </w:pPr>
    </w:lvl>
  </w:abstractNum>
  <w:abstractNum w:abstractNumId="1">
    <w:nsid w:val="05B37D26"/>
    <w:multiLevelType w:val="singleLevel"/>
    <w:tmpl w:val="05B37D2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A581623"/>
    <w:multiLevelType w:val="multilevel"/>
    <w:tmpl w:val="0A58162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6160BE0"/>
    <w:multiLevelType w:val="singleLevel"/>
    <w:tmpl w:val="26160BE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2126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5C"/>
    <w:rsid w:val="00023EC2"/>
    <w:rsid w:val="000477FF"/>
    <w:rsid w:val="00052E63"/>
    <w:rsid w:val="000602EE"/>
    <w:rsid w:val="00075CC6"/>
    <w:rsid w:val="000C252B"/>
    <w:rsid w:val="000D33C5"/>
    <w:rsid w:val="000E42A3"/>
    <w:rsid w:val="0011351A"/>
    <w:rsid w:val="00126A29"/>
    <w:rsid w:val="00143EB9"/>
    <w:rsid w:val="001521A5"/>
    <w:rsid w:val="001A0A42"/>
    <w:rsid w:val="001B3863"/>
    <w:rsid w:val="001B6D86"/>
    <w:rsid w:val="001B7A4C"/>
    <w:rsid w:val="001C330E"/>
    <w:rsid w:val="001C4FCA"/>
    <w:rsid w:val="001D6F1F"/>
    <w:rsid w:val="001E56CE"/>
    <w:rsid w:val="001F3DE3"/>
    <w:rsid w:val="00202656"/>
    <w:rsid w:val="00222525"/>
    <w:rsid w:val="00240091"/>
    <w:rsid w:val="00244425"/>
    <w:rsid w:val="00256374"/>
    <w:rsid w:val="00261432"/>
    <w:rsid w:val="00264FF9"/>
    <w:rsid w:val="00267C95"/>
    <w:rsid w:val="002B17D6"/>
    <w:rsid w:val="002D0B97"/>
    <w:rsid w:val="002F0950"/>
    <w:rsid w:val="00324B4F"/>
    <w:rsid w:val="003353F5"/>
    <w:rsid w:val="0034092F"/>
    <w:rsid w:val="00344033"/>
    <w:rsid w:val="00346863"/>
    <w:rsid w:val="003678D4"/>
    <w:rsid w:val="0037354B"/>
    <w:rsid w:val="00376309"/>
    <w:rsid w:val="00377CD5"/>
    <w:rsid w:val="00387741"/>
    <w:rsid w:val="004162A7"/>
    <w:rsid w:val="004376B7"/>
    <w:rsid w:val="004504F6"/>
    <w:rsid w:val="0047581E"/>
    <w:rsid w:val="004A6E51"/>
    <w:rsid w:val="004D0228"/>
    <w:rsid w:val="004D060C"/>
    <w:rsid w:val="004D31DB"/>
    <w:rsid w:val="004D46D2"/>
    <w:rsid w:val="005404AE"/>
    <w:rsid w:val="00585E1C"/>
    <w:rsid w:val="005942A3"/>
    <w:rsid w:val="005E3154"/>
    <w:rsid w:val="005E4B1C"/>
    <w:rsid w:val="005F0414"/>
    <w:rsid w:val="00607C95"/>
    <w:rsid w:val="00630BFF"/>
    <w:rsid w:val="00636C94"/>
    <w:rsid w:val="00646462"/>
    <w:rsid w:val="00656D05"/>
    <w:rsid w:val="00682BA9"/>
    <w:rsid w:val="006C7BF0"/>
    <w:rsid w:val="006D2F3A"/>
    <w:rsid w:val="006D65E4"/>
    <w:rsid w:val="006E7B7F"/>
    <w:rsid w:val="006F04BB"/>
    <w:rsid w:val="006F61F9"/>
    <w:rsid w:val="00706E39"/>
    <w:rsid w:val="00710704"/>
    <w:rsid w:val="00725917"/>
    <w:rsid w:val="007566EA"/>
    <w:rsid w:val="00756FFA"/>
    <w:rsid w:val="00782CCB"/>
    <w:rsid w:val="0079196F"/>
    <w:rsid w:val="00791BC7"/>
    <w:rsid w:val="007C0608"/>
    <w:rsid w:val="007D45AB"/>
    <w:rsid w:val="008126D9"/>
    <w:rsid w:val="00813561"/>
    <w:rsid w:val="00827066"/>
    <w:rsid w:val="00847079"/>
    <w:rsid w:val="008531A2"/>
    <w:rsid w:val="00862717"/>
    <w:rsid w:val="008E46A9"/>
    <w:rsid w:val="008F463D"/>
    <w:rsid w:val="00910143"/>
    <w:rsid w:val="0095315F"/>
    <w:rsid w:val="00963930"/>
    <w:rsid w:val="009B7BAA"/>
    <w:rsid w:val="009D1DEA"/>
    <w:rsid w:val="009E0CE7"/>
    <w:rsid w:val="009F4D87"/>
    <w:rsid w:val="00A32331"/>
    <w:rsid w:val="00A37E28"/>
    <w:rsid w:val="00A5422C"/>
    <w:rsid w:val="00A668E0"/>
    <w:rsid w:val="00A90994"/>
    <w:rsid w:val="00AA2716"/>
    <w:rsid w:val="00AD5A9F"/>
    <w:rsid w:val="00AF36DB"/>
    <w:rsid w:val="00B10EF3"/>
    <w:rsid w:val="00B42D18"/>
    <w:rsid w:val="00B443EA"/>
    <w:rsid w:val="00B51EB4"/>
    <w:rsid w:val="00B62C4A"/>
    <w:rsid w:val="00B833BE"/>
    <w:rsid w:val="00B84050"/>
    <w:rsid w:val="00B96286"/>
    <w:rsid w:val="00BA5315"/>
    <w:rsid w:val="00BC3483"/>
    <w:rsid w:val="00BD1407"/>
    <w:rsid w:val="00BE041A"/>
    <w:rsid w:val="00C0057A"/>
    <w:rsid w:val="00C1397B"/>
    <w:rsid w:val="00C24B36"/>
    <w:rsid w:val="00C63DDC"/>
    <w:rsid w:val="00C70496"/>
    <w:rsid w:val="00C73462"/>
    <w:rsid w:val="00C853CA"/>
    <w:rsid w:val="00C92A5C"/>
    <w:rsid w:val="00C9370D"/>
    <w:rsid w:val="00CA5581"/>
    <w:rsid w:val="00CD63EE"/>
    <w:rsid w:val="00CD7778"/>
    <w:rsid w:val="00CE35F7"/>
    <w:rsid w:val="00CE6CBA"/>
    <w:rsid w:val="00D06803"/>
    <w:rsid w:val="00D2170F"/>
    <w:rsid w:val="00D2213E"/>
    <w:rsid w:val="00D36647"/>
    <w:rsid w:val="00D414CE"/>
    <w:rsid w:val="00D47335"/>
    <w:rsid w:val="00D6797D"/>
    <w:rsid w:val="00DA6A06"/>
    <w:rsid w:val="00E044E2"/>
    <w:rsid w:val="00E27D57"/>
    <w:rsid w:val="00E61B69"/>
    <w:rsid w:val="00E83240"/>
    <w:rsid w:val="00EB50F4"/>
    <w:rsid w:val="00EC0968"/>
    <w:rsid w:val="00EC7F9F"/>
    <w:rsid w:val="00EE3AF5"/>
    <w:rsid w:val="00F7296B"/>
    <w:rsid w:val="00F7521D"/>
    <w:rsid w:val="00F86DA4"/>
    <w:rsid w:val="00F904B7"/>
    <w:rsid w:val="00FA17DA"/>
    <w:rsid w:val="00FB20EA"/>
    <w:rsid w:val="00FC5966"/>
    <w:rsid w:val="00FC62C6"/>
    <w:rsid w:val="00FD046F"/>
    <w:rsid w:val="00FD5AE5"/>
    <w:rsid w:val="03F308F1"/>
    <w:rsid w:val="06A27213"/>
    <w:rsid w:val="0A5C5E1A"/>
    <w:rsid w:val="0B99372D"/>
    <w:rsid w:val="0DA52D0D"/>
    <w:rsid w:val="0DDD77C8"/>
    <w:rsid w:val="0E1446AE"/>
    <w:rsid w:val="11313335"/>
    <w:rsid w:val="12E94C41"/>
    <w:rsid w:val="13B81E24"/>
    <w:rsid w:val="13E744B7"/>
    <w:rsid w:val="15F24A12"/>
    <w:rsid w:val="1AFF24AC"/>
    <w:rsid w:val="1BA76708"/>
    <w:rsid w:val="1BAA315B"/>
    <w:rsid w:val="1CEC0D90"/>
    <w:rsid w:val="1D0C1FDF"/>
    <w:rsid w:val="1FE97CC8"/>
    <w:rsid w:val="263D44E4"/>
    <w:rsid w:val="28BB6077"/>
    <w:rsid w:val="29C966E1"/>
    <w:rsid w:val="2ADB2A24"/>
    <w:rsid w:val="2B096FC7"/>
    <w:rsid w:val="2D11342D"/>
    <w:rsid w:val="2DBA01FC"/>
    <w:rsid w:val="2F2A4620"/>
    <w:rsid w:val="3174324F"/>
    <w:rsid w:val="337922FD"/>
    <w:rsid w:val="33D10568"/>
    <w:rsid w:val="35413B24"/>
    <w:rsid w:val="3690323D"/>
    <w:rsid w:val="39AA099D"/>
    <w:rsid w:val="3B5B5607"/>
    <w:rsid w:val="3B615FCE"/>
    <w:rsid w:val="3D4F10CA"/>
    <w:rsid w:val="3E51492E"/>
    <w:rsid w:val="3EA16B7F"/>
    <w:rsid w:val="41055DF9"/>
    <w:rsid w:val="425278D0"/>
    <w:rsid w:val="4350263A"/>
    <w:rsid w:val="43EA324B"/>
    <w:rsid w:val="47755FF5"/>
    <w:rsid w:val="4AA5596D"/>
    <w:rsid w:val="4B6C48B9"/>
    <w:rsid w:val="4CBA03DF"/>
    <w:rsid w:val="4D2B308B"/>
    <w:rsid w:val="4F4D03BB"/>
    <w:rsid w:val="50B44BC0"/>
    <w:rsid w:val="524B0BE9"/>
    <w:rsid w:val="529B480F"/>
    <w:rsid w:val="566C76A7"/>
    <w:rsid w:val="57DF62CC"/>
    <w:rsid w:val="5A9A53AC"/>
    <w:rsid w:val="5ACB37B8"/>
    <w:rsid w:val="5D5418FE"/>
    <w:rsid w:val="5ED71496"/>
    <w:rsid w:val="5F013C4C"/>
    <w:rsid w:val="606035B2"/>
    <w:rsid w:val="60885CA7"/>
    <w:rsid w:val="630A373F"/>
    <w:rsid w:val="6522491C"/>
    <w:rsid w:val="67561739"/>
    <w:rsid w:val="6B2F7D93"/>
    <w:rsid w:val="6BC97359"/>
    <w:rsid w:val="6F0F60E0"/>
    <w:rsid w:val="706B361B"/>
    <w:rsid w:val="710907F4"/>
    <w:rsid w:val="71EF3FF7"/>
    <w:rsid w:val="78131121"/>
    <w:rsid w:val="7A265B1C"/>
    <w:rsid w:val="7AB636E5"/>
    <w:rsid w:val="7ADA0446"/>
    <w:rsid w:val="7B690757"/>
    <w:rsid w:val="7CE1656E"/>
    <w:rsid w:val="7CF839A4"/>
    <w:rsid w:val="7E6B3330"/>
    <w:rsid w:val="7EA67F14"/>
    <w:rsid w:val="7EB862A6"/>
    <w:rsid w:val="7ED439D7"/>
    <w:rsid w:val="7FF505E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425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2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3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4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5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29"/>
    <w:semiHidden/>
    <w:unhideWhenUsed/>
    <w:qFormat/>
    <w:uiPriority w:val="99"/>
    <w:rPr>
      <w:rFonts w:ascii="宋体"/>
      <w:sz w:val="18"/>
      <w:szCs w:val="18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toc 3"/>
    <w:basedOn w:val="1"/>
    <w:next w:val="1"/>
    <w:unhideWhenUsed/>
    <w:qFormat/>
    <w:uiPriority w:val="39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11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spacing w:before="120" w:after="120"/>
      <w:ind w:left="200" w:hanging="200" w:hangingChars="200"/>
      <w:jc w:val="left"/>
    </w:pPr>
    <w:rPr>
      <w:rFonts w:cs="Calibri"/>
      <w:bCs/>
      <w:caps/>
      <w:szCs w:val="20"/>
    </w:rPr>
  </w:style>
  <w:style w:type="paragraph" w:styleId="15">
    <w:name w:val="toc 2"/>
    <w:basedOn w:val="1"/>
    <w:next w:val="1"/>
    <w:unhideWhenUsed/>
    <w:qFormat/>
    <w:uiPriority w:val="39"/>
    <w:pPr>
      <w:ind w:left="340"/>
      <w:jc w:val="left"/>
    </w:pPr>
    <w:rPr>
      <w:rFonts w:cs="Calibri"/>
      <w:smallCaps/>
      <w:szCs w:val="20"/>
    </w:rPr>
  </w:style>
  <w:style w:type="character" w:styleId="18">
    <w:name w:val="FollowedHyperlink"/>
    <w:basedOn w:val="1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7"/>
    <w:unhideWhenUsed/>
    <w:qFormat/>
    <w:uiPriority w:val="99"/>
    <w:rPr>
      <w:color w:val="0000FF"/>
      <w:u w:val="single"/>
    </w:rPr>
  </w:style>
  <w:style w:type="character" w:customStyle="1" w:styleId="20">
    <w:name w:val="标题 1 Char"/>
    <w:basedOn w:val="17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1">
    <w:name w:val="标题 2 Char"/>
    <w:basedOn w:val="17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2">
    <w:name w:val="标题 3 Char"/>
    <w:basedOn w:val="17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3">
    <w:name w:val="标题 4 Char"/>
    <w:basedOn w:val="17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4">
    <w:name w:val="标题 5 Char"/>
    <w:basedOn w:val="17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5">
    <w:name w:val="标题 6 Char"/>
    <w:basedOn w:val="17"/>
    <w:link w:val="7"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26">
    <w:name w:val="页眉 Char"/>
    <w:basedOn w:val="17"/>
    <w:link w:val="1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7">
    <w:name w:val="页脚 Char"/>
    <w:basedOn w:val="17"/>
    <w:link w:val="12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8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9">
    <w:name w:val="文档结构图 Char"/>
    <w:basedOn w:val="17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0">
    <w:name w:val="批注框文本 Char"/>
    <w:basedOn w:val="17"/>
    <w:link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1">
    <w:name w:val="List Paragraph"/>
    <w:basedOn w:val="1"/>
    <w:qFormat/>
    <w:uiPriority w:val="34"/>
    <w:pPr>
      <w:ind w:firstLine="420" w:firstLineChars="200"/>
    </w:pPr>
  </w:style>
  <w:style w:type="paragraph" w:customStyle="1" w:styleId="32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21</Pages>
  <Words>582</Words>
  <Characters>3320</Characters>
  <Lines>27</Lines>
  <Paragraphs>7</Paragraphs>
  <TotalTime>5</TotalTime>
  <ScaleCrop>false</ScaleCrop>
  <LinksUpToDate>false</LinksUpToDate>
  <CharactersWithSpaces>3895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2018-12-07T03:13:00Z</dcterms:created>
  <dc:creator>NTKO</dc:creator>
  <cp:lastModifiedBy>zheng</cp:lastModifiedBy>
  <dcterms:modified xsi:type="dcterms:W3CDTF">2023-08-09T09:53:29Z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3F00E584F0484FD5B4C34263FAD9A74A</vt:lpwstr>
  </property>
</Properties>
</file>