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pacing w:val="0"/>
          <w:w w:val="100"/>
          <w:kern w:val="0"/>
          <w:sz w:val="80"/>
          <w:szCs w:val="80"/>
        </w:rPr>
      </w:pPr>
      <w:r>
        <w:rPr>
          <w:rFonts w:ascii="方正小标宋简体" w:hAnsi="宋体" w:eastAsia="方正小标宋简体" w:cs="宋体"/>
          <w:color w:val="FF0000"/>
          <w:spacing w:val="0"/>
          <w:w w:val="100"/>
          <w:sz w:val="80"/>
          <w:szCs w:val="8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702945</wp:posOffset>
                </wp:positionV>
                <wp:extent cx="5810885" cy="18415"/>
                <wp:effectExtent l="0" t="31750" r="10795" b="41275"/>
                <wp:wrapNone/>
                <wp:docPr id="1" name="直接连接符 1"/>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pt;margin-top:55.35pt;height:1.45pt;width:457.55pt;rotation:11796480f;z-index:251659264;mso-width-relative:page;mso-height-relative:page;" filled="f" stroked="t" coordsize="21600,21600" o:gfxdata="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tS3zWAAAACwEAAA8AAAAAAAAAAQAgAAAA&#10;IgAAAGRycy9kb3ducmV2LnhtbFBLAQIUABQAAAAIAIdO4kCGaIycDQIAAAgEAAAOAAAAAAAAAAEA&#10;IAAAACUBAABkcnMvZTJvRG9jLnhtbFBLBQYAAAAABgAGAFkBAACkBQAAAAA=&#10;">
                <v:fill on="f" focussize="0,0"/>
                <v:stroke weight="5pt" color="#FF0000" linestyle="thickThin" joinstyle="round"/>
                <v:imagedata o:title=""/>
                <o:lock v:ext="edit" aspectratio="f"/>
              </v:line>
            </w:pict>
          </mc:Fallback>
        </mc:AlternateContent>
      </w:r>
      <w:r>
        <w:rPr>
          <w:rFonts w:hint="eastAsia" w:ascii="方正小标宋简体" w:hAnsi="宋体" w:eastAsia="方正小标宋简体" w:cs="宋体"/>
          <w:color w:val="FF0000"/>
          <w:spacing w:val="0"/>
          <w:w w:val="100"/>
          <w:sz w:val="80"/>
          <w:szCs w:val="80"/>
        </w:rPr>
        <w:t>安康市行政审批服务局</w:t>
      </w:r>
    </w:p>
    <w:p>
      <w:pPr>
        <w:pStyle w:val="4"/>
        <w:keepNext w:val="0"/>
        <w:keepLines w:val="0"/>
        <w:pageBreakBefore w:val="0"/>
        <w:widowControl/>
        <w:shd w:val="clear" w:color="auto" w:fill="FFFFFF"/>
        <w:kinsoku/>
        <w:wordWrap/>
        <w:overflowPunct/>
        <w:topLinePunct w:val="0"/>
        <w:autoSpaceDE/>
        <w:autoSpaceDN/>
        <w:bidi w:val="0"/>
        <w:snapToGrid w:val="0"/>
        <w:spacing w:line="560" w:lineRule="exact"/>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安康市行政审批服务局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关于报送</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2022年政府信息公开年度报告的函</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市政府办公室：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现将我局《2022年政府信息公开年度报告》报来，请收悉。</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br w:type="textWrapping"/>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444" w:firstLineChars="1389"/>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安康市行政审批服务局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2023年1月17日</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宋体" w:eastAsia="方正小标宋简体" w:cs="宋体"/>
          <w:color w:val="000000" w:themeColor="text1"/>
          <w:spacing w:val="0"/>
          <w:w w:val="100"/>
          <w:sz w:val="80"/>
          <w:szCs w:val="8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560705</wp:posOffset>
                </wp:positionV>
                <wp:extent cx="5810885" cy="18415"/>
                <wp:effectExtent l="0" t="31750" r="10795" b="41275"/>
                <wp:wrapNone/>
                <wp:docPr id="2" name="直接连接符 2"/>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25pt;margin-top:44.15pt;height:1.45pt;width:457.55pt;rotation:11796480f;z-index:251660288;mso-width-relative:page;mso-height-relative:page;" filled="f" stroked="t" coordsize="21600,21600" o:gfxdata="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TKoP2gAAAAkBAAAPAAAAAAAAAAEA&#10;IAAAACIAAABkcnMvZG93bnJldi54bWxQSwECFAAUAAAACACHTuJAcsHcbA0CAAAIBAAADgAAAAAA&#10;AAABACAAAAApAQAAZHJzL2Uyb0RvYy54bWxQSwUGAAAAAAYABgBZAQAAqAUAAAAA&#10;">
                <v:fill on="f" focussize="0,0"/>
                <v:stroke weight="5pt" color="#FF0000" linestyle="thinThick" joinstyle="round"/>
                <v:imagedata o:title=""/>
                <o:lock v:ext="edit" aspectratio="f"/>
              </v:line>
            </w:pict>
          </mc:Fallback>
        </mc:AlternateConten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sectPr>
          <w:pgSz w:w="11906" w:h="16838"/>
          <w:pgMar w:top="2098" w:right="1474" w:bottom="1984" w:left="1587" w:header="708" w:footer="709" w:gutter="0"/>
          <w:pgNumType w:fmt="numberInDash"/>
          <w:cols w:space="0" w:num="1"/>
          <w:rtlGutter w:val="0"/>
          <w:docGrid w:linePitch="360" w:charSpace="0"/>
        </w:sect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安康市行政审批服务局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年政府信息公开</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年度报告</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报告根据《中华人民共和国政府信息公开条例》要求编制，结合安康市行政审批服务局政府信息公开工作有关统计数据撰写。报告主要包括：总体情况、主动公开政府信息情况、收到和处理政府信息公开申请情况、政府信息公开行政复议、行政诉讼情况、存在的主要问题及改进情况和其他需要报告事项六个部分。本报告中使用数据统计期限为2022年1月1日至12月31日。</w:t>
      </w:r>
    </w:p>
    <w:p>
      <w:pPr>
        <w:keepNext w:val="0"/>
        <w:keepLines w:val="0"/>
        <w:pageBreakBefore w:val="0"/>
        <w:widowControl/>
        <w:numPr>
          <w:ilvl w:val="0"/>
          <w:numId w:val="1"/>
        </w:numPr>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总体情况</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2022年，安康市行政审批服务局坚持以习近平新时代中国特色社会主义思想为指导，认真落实中省市关于政务公开工作的决策部署，</w:t>
      </w:r>
      <w:r>
        <w:rPr>
          <w:rFonts w:hint="eastAsia" w:ascii="仿宋_GB2312" w:hAnsi="仿宋_GB2312" w:eastAsia="仿宋_GB2312" w:cs="仿宋_GB2312"/>
          <w:color w:val="000000" w:themeColor="text1"/>
          <w:sz w:val="32"/>
          <w:szCs w:val="32"/>
          <w14:textFill>
            <w14:solidFill>
              <w14:schemeClr w14:val="tx1"/>
            </w14:solidFill>
          </w14:textFill>
        </w:rPr>
        <w:t>紧紧围绕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审批、政务、交易、热线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四个服务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中心工作和</w:t>
      </w:r>
      <w:r>
        <w:rPr>
          <w:rFonts w:hint="eastAsia" w:ascii="仿宋_GB2312" w:hAnsi="仿宋_GB2312" w:eastAsia="仿宋_GB2312" w:cs="仿宋_GB2312"/>
          <w:color w:val="000000" w:themeColor="text1"/>
          <w:sz w:val="32"/>
          <w:szCs w:val="32"/>
          <w14:textFill>
            <w14:solidFill>
              <w14:schemeClr w14:val="tx1"/>
            </w14:solidFill>
          </w14:textFill>
        </w:rPr>
        <w:t>公众关注关切，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全面推进政府信息公开工作。</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1" w:firstLineChars="200"/>
        <w:jc w:val="both"/>
        <w:textAlignment w:val="auto"/>
        <w:outlineLvl w:val="9"/>
        <w:rPr>
          <w:rFonts w:hint="eastAsia"/>
          <w:lang w:val="en-US" w:eastAsia="zh-CN"/>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（一）主动公开方面。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履行审改办职责，牵头编制2022年市县两级行政许可事项清单，并主动在单位网站设置“安康市行政许可事项清单”专栏全面对外公开。主动做好政府信息公开指南和年报、概况信息、工作动态、通知公告、规划计划等基础内容信息公开工作。2022年，安康市行政审批服务局以门户网站、微信公众平台为载体，主动公开政务信息共计1047条。门户网站</w:t>
      </w:r>
      <w:r>
        <w:rPr>
          <w:rFonts w:hint="eastAsia" w:ascii="仿宋_GB2312" w:hAnsi="仿宋_GB2312" w:eastAsia="仿宋_GB2312" w:cs="仿宋_GB2312"/>
          <w:i w:val="0"/>
          <w:iCs w:val="0"/>
          <w:caps w:val="0"/>
          <w:color w:val="000000"/>
          <w:spacing w:val="0"/>
          <w:sz w:val="32"/>
          <w:szCs w:val="32"/>
          <w:lang w:val="en-US" w:eastAsia="zh-CN"/>
        </w:rPr>
        <w:t>主动公开政府信息597条，</w:t>
      </w:r>
      <w:r>
        <w:rPr>
          <w:rFonts w:hint="eastAsia" w:ascii="仿宋_GB2312" w:hAnsi="仿宋_GB2312" w:eastAsia="仿宋_GB2312" w:cs="仿宋_GB2312"/>
          <w:sz w:val="32"/>
          <w:szCs w:val="32"/>
          <w:lang w:val="en-US" w:eastAsia="zh-CN"/>
        </w:rPr>
        <w:t>其中发布工作动态198条，其他重点信息公开384条，概况类信息15条。安康政务微平台发布微信信息450条，阅读量合计超过10万人次，粉丝量超过1.85万人。</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1"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（二）依申请公开方面。</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我局严格按照《中华人民共和国政府信息公开条例》和《陕西省政府信息依申请公开答复示范文本》做好依申请公开。2022年共受理依申请公开1件。答复率100%，按时答复率100%。</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1"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（三）政府信息管理方面。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规范政府信息公开报送、审核、发布等流程，日常加强对于错敏字、无效链接涉及个人隐私等政府信息排查工作力度，对发现的错敏信息及时进行修改完善，做到公开信息准确、公开渠道畅通，公开流程清晰，从源头防范舆情风险。</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1"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（四）政府信息公开平台建设方面。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进一步提升信息公开平台发布功能，2022年度对网站与政务新媒体进行了栏目优化，围绕局中心工作增设“走流程、坐窗口、优服务”活动、创建全国文明城市、全国“人民满意的公务员集体”风采展示、安康市行政许可事项清单、帮办代办春风服务行动等专栏。每月开展一次信息公开平台全面自查工作，并积极配合市电子政务办、市政务公开办等对本单位信息公开平台开展日常督查工作，对发现问题积极整改落实，进一步完善信息公开平台建设，提高信息公开质效。</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1"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（五）监督保障方面。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保证政府信息公开工作的有序推进，成立政务公开组并实行专人专岗负责政务公开工作。完善政府信息公开工作考核制度、社会评议制度和责任追究制度等信息公开制度，印发《政府信息公开考核和社会评议制度（试行）》，将政务公开工作、政府网站与政务新媒体工作纳入工作人员年度目标责任考核内容。</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tbl>
      <w:tblPr>
        <w:tblStyle w:val="6"/>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3"/>
        <w:gridCol w:w="2364"/>
        <w:gridCol w:w="2364"/>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798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36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w:t>
            </w:r>
            <w:r>
              <w:rPr>
                <w:rFonts w:hint="eastAsia" w:ascii="宋体" w:hAnsi="宋体" w:eastAsia="宋体" w:cs="宋体"/>
                <w:kern w:val="0"/>
                <w:sz w:val="24"/>
                <w:szCs w:val="24"/>
                <w:lang w:val="en-US" w:eastAsia="zh-CN" w:bidi="ar"/>
              </w:rPr>
              <w:t>制发件数</w:t>
            </w:r>
          </w:p>
        </w:tc>
        <w:tc>
          <w:tcPr>
            <w:tcW w:w="236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本年废止件数</w:t>
            </w:r>
          </w:p>
        </w:tc>
        <w:tc>
          <w:tcPr>
            <w:tcW w:w="199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现行有效件</w:t>
            </w:r>
            <w:r>
              <w:rPr>
                <w:rFonts w:hint="eastAsia" w:ascii="宋体" w:hAnsi="宋体" w:eastAsia="宋体" w:cs="宋体"/>
                <w:kern w:val="0"/>
                <w:sz w:val="24"/>
                <w:szCs w:val="24"/>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规章</w:t>
            </w:r>
          </w:p>
        </w:tc>
        <w:tc>
          <w:tcPr>
            <w:tcW w:w="23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23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19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行政规范性文件</w:t>
            </w:r>
          </w:p>
        </w:tc>
        <w:tc>
          <w:tcPr>
            <w:tcW w:w="23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23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19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672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行政许可</w:t>
            </w:r>
          </w:p>
        </w:tc>
        <w:tc>
          <w:tcPr>
            <w:tcW w:w="672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10426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信息内容</w:t>
            </w:r>
          </w:p>
        </w:tc>
        <w:tc>
          <w:tcPr>
            <w:tcW w:w="6727"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行政处罚</w:t>
            </w:r>
          </w:p>
        </w:tc>
        <w:tc>
          <w:tcPr>
            <w:tcW w:w="672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行政强制</w:t>
            </w:r>
          </w:p>
        </w:tc>
        <w:tc>
          <w:tcPr>
            <w:tcW w:w="672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6727"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125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行政事业性收费</w:t>
            </w:r>
          </w:p>
        </w:tc>
        <w:tc>
          <w:tcPr>
            <w:tcW w:w="6727"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微软雅黑"/>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三、收到和处理政府信息公开申请情况</w:t>
      </w:r>
    </w:p>
    <w:tbl>
      <w:tblPr>
        <w:tblStyle w:val="6"/>
        <w:tblpPr w:leftFromText="180" w:rightFromText="180" w:vertAnchor="text" w:horzAnchor="page" w:tblpX="1590" w:tblpY="367"/>
        <w:tblOverlap w:val="never"/>
        <w:tblW w:w="86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4"/>
        <w:gridCol w:w="865"/>
        <w:gridCol w:w="2825"/>
        <w:gridCol w:w="617"/>
        <w:gridCol w:w="618"/>
        <w:gridCol w:w="618"/>
        <w:gridCol w:w="618"/>
        <w:gridCol w:w="618"/>
        <w:gridCol w:w="624"/>
        <w:gridCol w:w="6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428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ascii="楷体" w:hAnsi="楷体" w:eastAsia="楷体" w:cs="楷体"/>
                <w:kern w:val="0"/>
                <w:sz w:val="24"/>
                <w:szCs w:val="24"/>
                <w:lang w:val="en-US" w:eastAsia="zh-CN" w:bidi="ar"/>
              </w:rPr>
              <w:t>（本列数据的勾稽关系为：第一项加第二项之和，等于第三项加第四项之和）</w:t>
            </w:r>
          </w:p>
        </w:tc>
        <w:tc>
          <w:tcPr>
            <w:tcW w:w="433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428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自然人</w:t>
            </w:r>
          </w:p>
        </w:tc>
        <w:tc>
          <w:tcPr>
            <w:tcW w:w="3096"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法人或其他组织</w:t>
            </w:r>
          </w:p>
        </w:tc>
        <w:tc>
          <w:tcPr>
            <w:tcW w:w="622"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rPr>
        <w:tc>
          <w:tcPr>
            <w:tcW w:w="428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企业</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机构</w:t>
            </w:r>
          </w:p>
        </w:tc>
        <w:tc>
          <w:tcPr>
            <w:tcW w:w="61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社会公益组织</w:t>
            </w:r>
          </w:p>
        </w:tc>
        <w:tc>
          <w:tcPr>
            <w:tcW w:w="61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法律服务机构</w:t>
            </w:r>
          </w:p>
        </w:tc>
        <w:tc>
          <w:tcPr>
            <w:tcW w:w="62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其他</w:t>
            </w:r>
          </w:p>
        </w:tc>
        <w:tc>
          <w:tcPr>
            <w:tcW w:w="622"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428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一、本年新收政府信息公开申请数量</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1</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28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二、上年结转政府信息公开申请数量</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三、本年度办理结果</w:t>
            </w:r>
          </w:p>
        </w:tc>
        <w:tc>
          <w:tcPr>
            <w:tcW w:w="36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（一）予以公开</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8"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6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（二）部分公开</w:t>
            </w:r>
            <w:r>
              <w:rPr>
                <w:rFonts w:hint="eastAsia" w:ascii="楷体" w:hAnsi="楷体" w:eastAsia="楷体" w:cs="楷体"/>
                <w:kern w:val="0"/>
                <w:sz w:val="24"/>
                <w:szCs w:val="24"/>
                <w:lang w:val="en-US" w:eastAsia="zh-CN" w:bidi="ar"/>
              </w:rPr>
              <w:t>（区分处理的，只计这一情形，不计其他情形）</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（三）不予公开</w:t>
            </w: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1.属于国家秘密</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2.其他法律行政法规禁止公开</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3.危及“三安全一稳定”</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4.保护第三方合法权益</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5.属于三类内部事务信息</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6.属于四类过程性信息</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7.属于行政执法案卷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8.属于行政查询事项</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（四）无法提供</w:t>
            </w: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1.本机关不掌握相关政府信息</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1</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2.没有现成信息需要另行制作</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3.补正后申请内容仍不明确</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（五）不予处理</w:t>
            </w: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1.信访举报投诉类申请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2.重复申请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3.要求提供公开出版物</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4.无正当理由大量反复申请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61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（六）其他处理</w:t>
            </w:r>
          </w:p>
        </w:tc>
        <w:tc>
          <w:tcPr>
            <w:tcW w:w="282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65"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82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3.其他</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trPr>
        <w:tc>
          <w:tcPr>
            <w:tcW w:w="59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6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（七）总计</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1</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4"/>
                <w:szCs w:val="24"/>
              </w:rPr>
            </w:pPr>
            <w:r>
              <w:rPr>
                <w:rFonts w:hint="eastAsia" w:ascii="Calibri" w:hAnsi="Calibri" w:cs="Calibr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428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四、结转下年度继续办理</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r>
              <w:rPr>
                <w:rFonts w:hint="default" w:ascii="Calibri" w:hAnsi="Calibri" w:eastAsia="微软雅黑" w:cs="Calibri"/>
                <w:kern w:val="0"/>
                <w:sz w:val="24"/>
                <w:szCs w:val="24"/>
                <w:lang w:val="en-US" w:eastAsia="zh-CN" w:bidi="ar"/>
              </w:rPr>
              <w:t> </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ahoma" w:hAnsi="Tahoma" w:eastAsia="微软雅黑" w:cstheme="minorBidi"/>
                <w:sz w:val="24"/>
                <w:szCs w:val="24"/>
                <w:lang w:val="en-US" w:eastAsia="zh-CN" w:bidi="ar-SA"/>
              </w:rPr>
            </w:pPr>
            <w:r>
              <w:rPr>
                <w:rFonts w:hint="default" w:ascii="Calibri" w:hAnsi="Calibri" w:eastAsia="微软雅黑" w:cs="Calibri"/>
                <w:kern w:val="0"/>
                <w:sz w:val="24"/>
                <w:szCs w:val="24"/>
                <w:lang w:val="en-US" w:eastAsia="zh-CN" w:bidi="ar"/>
              </w:rPr>
              <w:t> </w:t>
            </w:r>
            <w:r>
              <w:rPr>
                <w:rFonts w:hint="eastAsia" w:ascii="Calibri" w:hAnsi="Calibri" w:cs="Calibri"/>
                <w:kern w:val="0"/>
                <w:sz w:val="24"/>
                <w:szCs w:val="24"/>
                <w:lang w:val="en-US" w:eastAsia="zh-CN" w:bidi="ar"/>
              </w:rPr>
              <w:t>0</w:t>
            </w:r>
          </w:p>
        </w:tc>
        <w:tc>
          <w:tcPr>
            <w:tcW w:w="62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ahoma" w:hAnsi="Tahoma" w:eastAsia="微软雅黑" w:cstheme="minorBidi"/>
                <w:sz w:val="24"/>
                <w:szCs w:val="24"/>
                <w:lang w:val="en-US" w:eastAsia="zh-CN" w:bidi="ar-SA"/>
              </w:rPr>
            </w:pPr>
            <w:r>
              <w:rPr>
                <w:rFonts w:hint="eastAsia" w:ascii="Calibri" w:hAnsi="Calibri" w:cs="Calibri"/>
                <w:kern w:val="0"/>
                <w:sz w:val="24"/>
                <w:szCs w:val="24"/>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tbl>
      <w:tblPr>
        <w:tblStyle w:val="6"/>
        <w:tblW w:w="89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7"/>
        <w:gridCol w:w="597"/>
        <w:gridCol w:w="597"/>
        <w:gridCol w:w="597"/>
        <w:gridCol w:w="601"/>
        <w:gridCol w:w="597"/>
        <w:gridCol w:w="597"/>
        <w:gridCol w:w="598"/>
        <w:gridCol w:w="598"/>
        <w:gridCol w:w="602"/>
        <w:gridCol w:w="599"/>
        <w:gridCol w:w="599"/>
        <w:gridCol w:w="599"/>
        <w:gridCol w:w="599"/>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jc w:val="center"/>
        </w:trPr>
        <w:tc>
          <w:tcPr>
            <w:tcW w:w="298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行政复议</w:t>
            </w:r>
          </w:p>
        </w:tc>
        <w:tc>
          <w:tcPr>
            <w:tcW w:w="5990"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9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结果维持</w:t>
            </w:r>
          </w:p>
        </w:tc>
        <w:tc>
          <w:tcPr>
            <w:tcW w:w="59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59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59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总计</w:t>
            </w:r>
          </w:p>
        </w:tc>
        <w:tc>
          <w:tcPr>
            <w:tcW w:w="29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未经复议直接起诉</w:t>
            </w:r>
          </w:p>
        </w:tc>
        <w:tc>
          <w:tcPr>
            <w:tcW w:w="299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59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5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5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总计</w:t>
            </w:r>
          </w:p>
        </w:tc>
        <w:tc>
          <w:tcPr>
            <w:tcW w:w="5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5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5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结果</w:t>
            </w:r>
          </w:p>
        </w:tc>
        <w:tc>
          <w:tcPr>
            <w:tcW w:w="5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35" w:hRule="atLeast"/>
          <w:jc w:val="center"/>
        </w:trPr>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5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5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5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微软雅黑"/>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存在的主要问题及改进情况</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2022年，我局政府信息公开工作平稳有序进行，但距离上级部门要求及群众需求还存在一定差距和不足。一是政务公开质量还有待于进一步提升，二是政策文件发布和解读工作有待进一步完善。</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下一步，我局将重点做好两个方面工作。一是更加积极主动开展政府信息公开工作，充分利用“两例会两活动”等定期开展培训，加强全体干部对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《中华人民共和国政府信息公开条例》</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等文件的学习，不断提高政务公开工作专业水平，切实提升政府信息公开工作质效。二是及时梳理单位“政策知识库”，及时转载中省市相关政策文件，加大政策解读力度，进一步拓宽政策宣传渠道，不断提升信息公开时效和实效。</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六、其他需要报告的事项</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2022年，我局未产生收取信息处理费情况。</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440" w:firstLineChars="20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7DD9A"/>
    <w:multiLevelType w:val="singleLevel"/>
    <w:tmpl w:val="7E47DD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YzViYmZkNDg2OWQ0ZjU3OGU5MmQ1ODQ5YTM5YjkifQ=="/>
  </w:docVars>
  <w:rsids>
    <w:rsidRoot w:val="3FCC5B25"/>
    <w:rsid w:val="06D53D8E"/>
    <w:rsid w:val="07E30B82"/>
    <w:rsid w:val="0AF30230"/>
    <w:rsid w:val="14220AD9"/>
    <w:rsid w:val="1D9E02DC"/>
    <w:rsid w:val="1E4D5A5B"/>
    <w:rsid w:val="22791A98"/>
    <w:rsid w:val="259049AF"/>
    <w:rsid w:val="29C3106F"/>
    <w:rsid w:val="2ABC4498"/>
    <w:rsid w:val="2B847028"/>
    <w:rsid w:val="354A66F9"/>
    <w:rsid w:val="3A8F302F"/>
    <w:rsid w:val="3E66054B"/>
    <w:rsid w:val="3FCC5B25"/>
    <w:rsid w:val="47587EE0"/>
    <w:rsid w:val="4A05330E"/>
    <w:rsid w:val="4A443E36"/>
    <w:rsid w:val="51E97154"/>
    <w:rsid w:val="55300D2E"/>
    <w:rsid w:val="6A73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ascii="Calibri" w:hAnsi="Calibri" w:eastAsia="宋体" w:cs="Times New Roman"/>
      <w:sz w:val="16"/>
      <w:szCs w:val="16"/>
    </w:rPr>
  </w:style>
  <w:style w:type="paragraph" w:styleId="3">
    <w:name w:val="Body Text"/>
    <w:basedOn w:val="1"/>
    <w:next w:val="1"/>
    <w:qFormat/>
    <w:uiPriority w:val="0"/>
    <w:pPr>
      <w:spacing w:before="0" w:after="140" w:line="276" w:lineRule="auto"/>
    </w:p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adjustRightInd/>
      <w:snapToGrid/>
      <w:spacing w:before="100" w:beforeAutospacing="1" w:after="100" w:afterAutospacing="1" w:line="375" w:lineRule="atLeast"/>
    </w:pPr>
    <w:rPr>
      <w:rFonts w:ascii="宋体" w:hAnsi="宋体" w:eastAsia="宋体" w:cs="宋体"/>
      <w:sz w:val="21"/>
      <w:szCs w:val="21"/>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2403</Words>
  <Characters>2490</Characters>
  <Lines>0</Lines>
  <Paragraphs>0</Paragraphs>
  <TotalTime>9</TotalTime>
  <ScaleCrop>false</ScaleCrop>
  <LinksUpToDate>false</LinksUpToDate>
  <CharactersWithSpaces>2674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2023-01-16T02:13:00Z</dcterms:created>
  <dc:creator>Silence.</dc:creator>
  <cp:lastModifiedBy>Silence.</cp:lastModifiedBy>
  <cp:lastPrinted>2023-01-17T04:37:00Z</cp:lastPrinted>
  <dcterms:modified xsi:type="dcterms:W3CDTF">2023-01-28T06:15:44Z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6FFEEAF0A9D1452A8100AEBADF19A9C8</vt:lpwstr>
  </property>
</Properties>
</file>